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08" w:rsidRDefault="001105E5" w:rsidP="00E546E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A86A04">
        <w:rPr>
          <w:rFonts w:ascii="Times New Roman" w:hAnsi="Times New Roman"/>
          <w:b/>
          <w:color w:val="000000"/>
          <w:sz w:val="24"/>
          <w:szCs w:val="24"/>
          <w:lang w:val="kk-KZ"/>
        </w:rPr>
        <w:t>     </w:t>
      </w:r>
      <w:r w:rsidRPr="00A86A0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A86A04" w:rsidRPr="00A86A04">
        <w:rPr>
          <w:rFonts w:ascii="Times New Roman" w:hAnsi="Times New Roman"/>
          <w:b/>
          <w:sz w:val="24"/>
          <w:szCs w:val="24"/>
          <w:lang w:val="kk-KZ"/>
        </w:rPr>
        <w:t>9.</w:t>
      </w:r>
      <w:r w:rsidRPr="00E14790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5A6A08" w:rsidRPr="005A6A08">
        <w:rPr>
          <w:rFonts w:ascii="Times New Roman" w:hAnsi="Times New Roman"/>
          <w:color w:val="FF0000"/>
          <w:sz w:val="24"/>
          <w:szCs w:val="24"/>
          <w:lang w:val="kk-KZ"/>
        </w:rPr>
        <w:t>«</w:t>
      </w:r>
      <w:r w:rsidR="005A6A08">
        <w:rPr>
          <w:rFonts w:ascii="Times New Roman" w:hAnsi="Times New Roman"/>
          <w:color w:val="FF0000"/>
          <w:sz w:val="28"/>
          <w:szCs w:val="28"/>
          <w:lang w:val="kk-KZ"/>
        </w:rPr>
        <w:t>Өмір қауіпсіздігінің негіздер»</w:t>
      </w:r>
      <w:r w:rsidR="00E546E1" w:rsidRPr="00E546E1">
        <w:rPr>
          <w:rFonts w:ascii="Times New Roman" w:hAnsi="Times New Roman"/>
          <w:color w:val="FF0000"/>
          <w:sz w:val="28"/>
          <w:szCs w:val="28"/>
          <w:lang w:val="kk-KZ"/>
        </w:rPr>
        <w:t xml:space="preserve"> міндетті оқу курсын</w:t>
      </w:r>
      <w:r w:rsidR="005A6A08">
        <w:rPr>
          <w:rFonts w:ascii="Times New Roman" w:hAnsi="Times New Roman"/>
          <w:color w:val="FF0000"/>
          <w:sz w:val="28"/>
          <w:szCs w:val="28"/>
          <w:lang w:val="kk-KZ"/>
        </w:rPr>
        <w:t xml:space="preserve"> іске асыру;</w:t>
      </w:r>
      <w:r w:rsidR="00E546E1" w:rsidRPr="00E546E1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5A6A08" w:rsidRPr="005A6A08" w:rsidRDefault="005A6A08" w:rsidP="005A6A08">
      <w:pPr>
        <w:pStyle w:val="Default"/>
        <w:ind w:firstLine="720"/>
        <w:contextualSpacing/>
        <w:jc w:val="both"/>
        <w:rPr>
          <w:i/>
          <w:color w:val="FF0000"/>
          <w:sz w:val="27"/>
          <w:szCs w:val="27"/>
          <w:lang w:val="kk-KZ"/>
        </w:rPr>
      </w:pPr>
      <w:r w:rsidRPr="005A6A08">
        <w:rPr>
          <w:i/>
          <w:color w:val="FF0000"/>
          <w:sz w:val="27"/>
          <w:szCs w:val="27"/>
          <w:lang w:val="kk-KZ"/>
        </w:rPr>
        <w:t>Жалпы білім беретін оқу бағдарламалары, оның ішінде «Дүниетану», «Дене шынықтыру» оқу пәндері бойынша күнтізбелік-тақырыптық жоспарлар, сынып журналдары зерделеніп, талдау жасалды.</w:t>
      </w:r>
    </w:p>
    <w:p w:rsidR="00E546E1" w:rsidRPr="00CD6AF8" w:rsidRDefault="005A6A08" w:rsidP="005A6A08">
      <w:pPr>
        <w:spacing w:after="0"/>
        <w:jc w:val="both"/>
        <w:rPr>
          <w:color w:val="FF0000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CF77FD" w:rsidRDefault="00CF77FD" w:rsidP="00110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E74BD" w:rsidRDefault="007E74BD" w:rsidP="00CF77FD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Талдау нәтижелері:</w:t>
      </w:r>
    </w:p>
    <w:p w:rsidR="00CF77FD" w:rsidRPr="007660A6" w:rsidRDefault="007660A6" w:rsidP="00CF77F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</w:t>
      </w:r>
      <w:r w:rsidR="00CF77FD" w:rsidRPr="007660A6">
        <w:rPr>
          <w:rFonts w:ascii="Times New Roman" w:hAnsi="Times New Roman"/>
          <w:b/>
          <w:sz w:val="28"/>
          <w:szCs w:val="28"/>
          <w:lang w:val="kk-KZ"/>
        </w:rPr>
        <w:t xml:space="preserve"> оқу жыл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дарында </w:t>
      </w:r>
      <w:r w:rsidR="00CF77FD" w:rsidRPr="007660A6">
        <w:rPr>
          <w:rFonts w:ascii="Times New Roman" w:hAnsi="Times New Roman"/>
          <w:sz w:val="28"/>
          <w:szCs w:val="28"/>
          <w:lang w:val="kk-KZ"/>
        </w:rPr>
        <w:t xml:space="preserve"> «Өмір қауіпсіздігі негіздері» оқу курсын оқыту міндетті болып табылады. 1-3 сыныптарда жылдық оқу</w:t>
      </w:r>
      <w:r>
        <w:rPr>
          <w:rFonts w:ascii="Times New Roman" w:hAnsi="Times New Roman"/>
          <w:sz w:val="28"/>
          <w:szCs w:val="28"/>
          <w:lang w:val="kk-KZ"/>
        </w:rPr>
        <w:t xml:space="preserve"> жүктемесі 6 сағатты, 4 сыныпт</w:t>
      </w:r>
      <w:r w:rsidR="00A23419">
        <w:rPr>
          <w:rFonts w:ascii="Times New Roman" w:hAnsi="Times New Roman"/>
          <w:sz w:val="28"/>
          <w:szCs w:val="28"/>
          <w:lang w:val="kk-KZ"/>
        </w:rPr>
        <w:t>а 7</w:t>
      </w:r>
      <w:r w:rsidR="00CF77FD" w:rsidRPr="007660A6">
        <w:rPr>
          <w:rFonts w:ascii="Times New Roman" w:hAnsi="Times New Roman"/>
          <w:sz w:val="28"/>
          <w:szCs w:val="28"/>
          <w:lang w:val="kk-KZ"/>
        </w:rPr>
        <w:t xml:space="preserve"> сағатты «Дүниетану» пәні шеңберінде бастауыш сынып мұғалімдерінің оқытуымен жүзеге ас</w:t>
      </w:r>
      <w:r>
        <w:rPr>
          <w:rFonts w:ascii="Times New Roman" w:hAnsi="Times New Roman"/>
          <w:sz w:val="28"/>
          <w:szCs w:val="28"/>
          <w:lang w:val="kk-KZ"/>
        </w:rPr>
        <w:t>ырылды</w:t>
      </w:r>
      <w:r w:rsidR="00CF77FD" w:rsidRPr="007660A6">
        <w:rPr>
          <w:rFonts w:ascii="Times New Roman" w:hAnsi="Times New Roman"/>
          <w:sz w:val="28"/>
          <w:szCs w:val="28"/>
          <w:lang w:val="kk-KZ"/>
        </w:rPr>
        <w:t xml:space="preserve">. Сонымен қатар 5- 9 сыныптарда оқу жүктемесі 15 сағатты құрайды және дене шынықтыру пәні мұғалімінің оқытуымен  </w:t>
      </w:r>
      <w:r w:rsidR="007E74BD">
        <w:rPr>
          <w:rFonts w:ascii="Times New Roman" w:hAnsi="Times New Roman"/>
          <w:sz w:val="28"/>
          <w:szCs w:val="28"/>
          <w:lang w:val="kk-KZ"/>
        </w:rPr>
        <w:t>іске асырылып,</w:t>
      </w:r>
      <w:r w:rsidRPr="007660A6">
        <w:rPr>
          <w:rFonts w:ascii="Times New Roman" w:hAnsi="Times New Roman"/>
          <w:sz w:val="28"/>
          <w:szCs w:val="28"/>
          <w:lang w:val="kk-KZ"/>
        </w:rPr>
        <w:t xml:space="preserve">тақырыптары  «Күнделік.kz» электронды журналына   </w:t>
      </w:r>
      <w:r>
        <w:rPr>
          <w:rFonts w:ascii="Times New Roman" w:hAnsi="Times New Roman"/>
          <w:sz w:val="28"/>
          <w:szCs w:val="28"/>
          <w:lang w:val="kk-KZ"/>
        </w:rPr>
        <w:t xml:space="preserve">енгізіліп </w:t>
      </w:r>
      <w:r w:rsidR="00CF77FD" w:rsidRPr="007660A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77FD" w:rsidRPr="007660A6">
        <w:rPr>
          <w:rFonts w:ascii="Times New Roman" w:hAnsi="Times New Roman"/>
          <w:sz w:val="28"/>
          <w:szCs w:val="28"/>
          <w:lang w:val="kk-KZ"/>
        </w:rPr>
        <w:t>жазылды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CF77FD" w:rsidRPr="00CF77FD" w:rsidRDefault="00CF77FD" w:rsidP="00766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60A6" w:rsidRDefault="00CF77FD" w:rsidP="002D5C0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14790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7660A6">
        <w:rPr>
          <w:rFonts w:ascii="Times New Roman" w:hAnsi="Times New Roman"/>
          <w:b/>
          <w:sz w:val="24"/>
          <w:szCs w:val="24"/>
          <w:lang w:val="kk-KZ"/>
        </w:rPr>
        <w:t>2022-2023</w:t>
      </w:r>
      <w:r w:rsidRPr="00E14790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  <w:r w:rsidRPr="00E14790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1276"/>
        <w:gridCol w:w="1275"/>
        <w:gridCol w:w="1560"/>
        <w:gridCol w:w="992"/>
        <w:gridCol w:w="992"/>
        <w:gridCol w:w="851"/>
        <w:gridCol w:w="850"/>
        <w:gridCol w:w="1276"/>
      </w:tblGrid>
      <w:tr w:rsidR="007660A6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Сыны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Қырк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275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560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850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7660A6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660A6" w:rsidRPr="00F639FB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660A6" w:rsidRPr="0009262E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7660A6" w:rsidRPr="0009262E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F639FB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7660A6" w:rsidRPr="0009262E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7660A6" w:rsidRPr="0009262E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7660A6" w:rsidRPr="0009262E" w:rsidRDefault="00F639FB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7660A6" w:rsidRPr="00A86A04" w:rsidTr="00A23419">
        <w:trPr>
          <w:trHeight w:val="374"/>
        </w:trPr>
        <w:tc>
          <w:tcPr>
            <w:tcW w:w="709" w:type="dxa"/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660A6" w:rsidRPr="00F968BC" w:rsidRDefault="00F968BC" w:rsidP="002E32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660A6" w:rsidRPr="00F968BC" w:rsidRDefault="00F968BC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7660A6" w:rsidRPr="00F968BC" w:rsidRDefault="00F968BC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F639FB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F968BC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7660A6" w:rsidRPr="0009262E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7660A6" w:rsidRPr="00F968BC" w:rsidRDefault="00F968BC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7660A6" w:rsidRPr="00F968BC" w:rsidRDefault="00F968BC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60A6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7660A6" w:rsidRPr="00A86A04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7660A6" w:rsidRPr="00A86A04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7660A6" w:rsidRPr="0009262E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7660A6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7660A6" w:rsidRPr="003E69E8" w:rsidRDefault="007660A6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9E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660A6" w:rsidRPr="0009262E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7660A6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7660A6" w:rsidRPr="00A86A04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08/22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7660A6" w:rsidRPr="00F16680" w:rsidRDefault="00F16680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5C6F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345C6F" w:rsidRPr="00A86A04" w:rsidRDefault="00345C6F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/21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/19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/23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/21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/11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/22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345C6F" w:rsidRPr="00947D85" w:rsidRDefault="00947D85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/31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A86A04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Pr="002E32AA" w:rsidRDefault="002E32AA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/27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Pr="002E32AA" w:rsidRDefault="002E32AA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/18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Pr="002E32AA" w:rsidRDefault="002E32AA" w:rsidP="002E3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/15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Pr="000F6C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Pr="000F6C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0F6CEB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A86A04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16/23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A86A04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17/31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D018F1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371FB6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D018F1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16/30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1A20B9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2E32AA" w:rsidRPr="00A86A04" w:rsidTr="00A23419">
        <w:trPr>
          <w:trHeight w:val="253"/>
        </w:trPr>
        <w:tc>
          <w:tcPr>
            <w:tcW w:w="709" w:type="dxa"/>
            <w:shd w:val="clear" w:color="auto" w:fill="auto"/>
          </w:tcPr>
          <w:p w:rsidR="002E32AA" w:rsidRPr="00D018F1" w:rsidRDefault="002E32AA" w:rsidP="008E7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2E32AA" w:rsidRDefault="00E410D1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2E32AA" w:rsidRDefault="00E410D1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2E32AA" w:rsidRDefault="00E410D1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15/29</w:t>
            </w:r>
          </w:p>
        </w:tc>
        <w:tc>
          <w:tcPr>
            <w:tcW w:w="1560" w:type="dxa"/>
            <w:tcBorders>
              <w:left w:val="outset" w:sz="6" w:space="0" w:color="auto"/>
            </w:tcBorders>
            <w:vAlign w:val="center"/>
          </w:tcPr>
          <w:p w:rsidR="002E32AA" w:rsidRDefault="00C54803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C54803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Borders>
              <w:left w:val="outset" w:sz="6" w:space="0" w:color="auto"/>
            </w:tcBorders>
            <w:vAlign w:val="center"/>
          </w:tcPr>
          <w:p w:rsidR="002E32AA" w:rsidRDefault="00C54803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vAlign w:val="center"/>
          </w:tcPr>
          <w:p w:rsidR="002E32AA" w:rsidRDefault="00C54803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outset" w:sz="6" w:space="0" w:color="auto"/>
            </w:tcBorders>
            <w:vAlign w:val="center"/>
          </w:tcPr>
          <w:p w:rsidR="002E32AA" w:rsidRDefault="002E32AA" w:rsidP="002E32AA">
            <w:pPr>
              <w:jc w:val="center"/>
            </w:pPr>
          </w:p>
        </w:tc>
        <w:tc>
          <w:tcPr>
            <w:tcW w:w="1276" w:type="dxa"/>
            <w:tcBorders>
              <w:left w:val="outset" w:sz="6" w:space="0" w:color="auto"/>
            </w:tcBorders>
            <w:vAlign w:val="center"/>
          </w:tcPr>
          <w:p w:rsidR="002E32AA" w:rsidRDefault="00C54803" w:rsidP="002E32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E32AA" w:rsidRPr="00B774C6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</w:tbl>
    <w:p w:rsidR="007660A6" w:rsidRDefault="007660A6" w:rsidP="002D5C0B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 xml:space="preserve">  Бастауыш  сыныптарда «Өмір қауіпсіздігі негіздері» оқу курсында қамтылған сабақтың негізгі тақырыптары,олар: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1.Қауіпсіздік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2.Көше күтпеген жағдайлармен толы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3.Көшелерде және жолдарда біздің адал достарымыз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4.Мұны бәрі білу тиіс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5.Біз— жолаушылармыз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6.Судағы қауіпсіздік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7.Бөлмедегі қауіпсіздік</w:t>
      </w:r>
    </w:p>
    <w:p w:rsidR="001105E5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8.Практикалық сабақтар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Жоғары сыныптарда</w:t>
      </w:r>
      <w:r w:rsidRPr="00A86A04">
        <w:rPr>
          <w:rFonts w:ascii="Times New Roman" w:hAnsi="Times New Roman"/>
          <w:sz w:val="28"/>
          <w:szCs w:val="28"/>
          <w:lang w:val="kk-KZ"/>
        </w:rPr>
        <w:t xml:space="preserve"> «Өмір қауіпсіздігі негіздері» оқу курсында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6A04">
        <w:rPr>
          <w:rFonts w:ascii="Times New Roman" w:hAnsi="Times New Roman"/>
          <w:sz w:val="28"/>
          <w:szCs w:val="28"/>
          <w:lang w:val="kk-KZ"/>
        </w:rPr>
        <w:t xml:space="preserve">қамтылған 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сабақтың негізгі тақырыптары</w:t>
      </w:r>
      <w:r w:rsidRPr="00A86A04">
        <w:rPr>
          <w:rFonts w:ascii="Times New Roman" w:hAnsi="Times New Roman"/>
          <w:sz w:val="28"/>
          <w:szCs w:val="28"/>
          <w:lang w:val="kk-KZ"/>
        </w:rPr>
        <w:t>,олар: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lastRenderedPageBreak/>
        <w:t>1.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 xml:space="preserve"> Радиациялы-қауіпті объект</w:t>
      </w:r>
      <w:r w:rsidRPr="00A86A04">
        <w:rPr>
          <w:rFonts w:ascii="Times New Roman" w:hAnsi="Times New Roman"/>
          <w:sz w:val="28"/>
          <w:szCs w:val="28"/>
          <w:lang w:val="kk-KZ"/>
        </w:rPr>
        <w:t>ілер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.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2.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Гидродинамикалық апат, оның салдары. Қауіп жағдайында және гидродинамикалық апат кезінде су тасқыны барысында халықтың әрекет етуі бойынша нұсқаулық.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3.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Экологиялық теңдіктің бұзылуы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4.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Ересек мектеп жасында оқушыларды жарақаттан алдын алу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5.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 xml:space="preserve">Жараланғанда, жарақаттанғанда, қатерге ұшырағанда көрсетілетін бірінші дәрігерлік көмек </w:t>
      </w:r>
    </w:p>
    <w:p w:rsidR="003937D3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6.</w:t>
      </w:r>
      <w:r w:rsidR="003937D3" w:rsidRPr="00A86A04">
        <w:rPr>
          <w:rFonts w:ascii="Times New Roman" w:hAnsi="Times New Roman"/>
          <w:sz w:val="28"/>
          <w:szCs w:val="28"/>
          <w:lang w:val="kk-KZ"/>
        </w:rPr>
        <w:t>Жастардың денсаулығы мен өмір салты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7.Инфекциялық ауру және оларды алдын алу</w:t>
      </w:r>
    </w:p>
    <w:p w:rsidR="002D5C0B" w:rsidRPr="00A86A04" w:rsidRDefault="002D5C0B" w:rsidP="002D5C0B">
      <w:pPr>
        <w:pStyle w:val="a3"/>
        <w:rPr>
          <w:rFonts w:ascii="Times New Roman" w:hAnsi="Times New Roman"/>
          <w:color w:val="434343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8.Салауатты өмір салтының дағдылары туралы түсінік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 xml:space="preserve">9.Жараланғанда, жарақаттанғанда, басқа да қатерге ұшырағанда көрсетілетін </w:t>
      </w:r>
    </w:p>
    <w:p w:rsidR="002D5C0B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бірінші дәгерлік көмек</w:t>
      </w:r>
    </w:p>
    <w:p w:rsidR="001105E5" w:rsidRPr="00A86A04" w:rsidRDefault="002D5C0B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86A04">
        <w:rPr>
          <w:rFonts w:ascii="Times New Roman" w:hAnsi="Times New Roman"/>
          <w:sz w:val="28"/>
          <w:szCs w:val="28"/>
          <w:lang w:val="kk-KZ"/>
        </w:rPr>
        <w:t>10.Өрттер және жарылыстар</w:t>
      </w:r>
    </w:p>
    <w:p w:rsidR="00A86A04" w:rsidRPr="005A6A08" w:rsidRDefault="00C53508" w:rsidP="002D5C0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7E74BD" w:rsidRPr="005A6A08">
        <w:rPr>
          <w:rFonts w:ascii="Times New Roman" w:hAnsi="Times New Roman"/>
          <w:b/>
          <w:sz w:val="28"/>
          <w:szCs w:val="28"/>
          <w:lang w:val="kk-KZ"/>
        </w:rPr>
        <w:t xml:space="preserve">Қортынды: </w:t>
      </w:r>
    </w:p>
    <w:p w:rsidR="00C53508" w:rsidRPr="00B65607" w:rsidRDefault="00C53508" w:rsidP="00C53508">
      <w:pPr>
        <w:pStyle w:val="Default"/>
        <w:ind w:firstLine="720"/>
        <w:contextualSpacing/>
        <w:jc w:val="both"/>
        <w:rPr>
          <w:color w:val="auto"/>
          <w:sz w:val="27"/>
          <w:szCs w:val="27"/>
          <w:lang w:val="kk-KZ"/>
        </w:rPr>
      </w:pPr>
      <w:r w:rsidRPr="00B65607">
        <w:rPr>
          <w:color w:val="auto"/>
          <w:sz w:val="27"/>
          <w:szCs w:val="27"/>
          <w:lang w:val="kk-KZ"/>
        </w:rPr>
        <w:t>Қазақстан Республикасы Білім және ғылым министрінің 2018 жылғы 31 қазандағы №604 бұйрығымен бекітілген «Бастауыш білім берудің мемлекеттік жалпыға міндетті стандарты» (2 қосымшасы) 2-тарауының 24 тармағы, «Негізгі орта білім берудің мемлекеттік жалпыға міндетті стандарты» (3 қосымшасы) 4 тарауының 1 параграф 75.6 тармағы, «Жалпы орта білім берудің мемлекеттік жалпыға міндетті стандарты» (4 қосымшасы) 4 тарауының 1 параграф 81 тармағына сәйкес келеді.</w:t>
      </w:r>
    </w:p>
    <w:p w:rsidR="00C53508" w:rsidRPr="00A86A04" w:rsidRDefault="00C53508" w:rsidP="002D5C0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C7B4D" w:rsidRPr="002D5C0B" w:rsidRDefault="00DC7B4D" w:rsidP="002D5C0B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035F3" w:rsidRDefault="00A86A04" w:rsidP="001105E5">
      <w:pPr>
        <w:pStyle w:val="a3"/>
        <w:jc w:val="both"/>
        <w:rPr>
          <w:rFonts w:ascii="Times New Roman" w:hAnsi="Times New Roman"/>
          <w:color w:val="FF0000"/>
          <w:sz w:val="28"/>
          <w:lang w:val="kk-KZ"/>
        </w:rPr>
      </w:pPr>
      <w:r w:rsidRPr="00363C60">
        <w:rPr>
          <w:rFonts w:ascii="Times New Roman" w:hAnsi="Times New Roman"/>
          <w:b/>
          <w:sz w:val="28"/>
          <w:szCs w:val="28"/>
          <w:lang w:val="kk-KZ"/>
        </w:rPr>
        <w:t>10.</w:t>
      </w:r>
      <w:r w:rsidR="00363C60" w:rsidRPr="00363C60">
        <w:rPr>
          <w:color w:val="FF0000"/>
          <w:sz w:val="28"/>
          <w:lang w:val="kk-KZ"/>
        </w:rPr>
        <w:t xml:space="preserve"> </w:t>
      </w:r>
      <w:r w:rsidR="00363C60" w:rsidRPr="008A0B11">
        <w:rPr>
          <w:color w:val="FF0000"/>
          <w:sz w:val="28"/>
          <w:lang w:val="kk-KZ"/>
        </w:rPr>
        <w:t>"</w:t>
      </w:r>
      <w:r w:rsidR="00363C60" w:rsidRPr="00363C60">
        <w:rPr>
          <w:rFonts w:ascii="Times New Roman" w:hAnsi="Times New Roman"/>
          <w:color w:val="FF0000"/>
          <w:sz w:val="28"/>
          <w:lang w:val="kk-KZ"/>
        </w:rPr>
        <w:t>Жолда жүру ережелері"</w:t>
      </w:r>
      <w:r w:rsidR="008035F3">
        <w:rPr>
          <w:rFonts w:ascii="Times New Roman" w:hAnsi="Times New Roman"/>
          <w:color w:val="FF0000"/>
          <w:sz w:val="28"/>
          <w:lang w:val="kk-KZ"/>
        </w:rPr>
        <w:t xml:space="preserve"> міндетті оқу курсын іске асыру;</w:t>
      </w:r>
    </w:p>
    <w:p w:rsidR="007E74BD" w:rsidRPr="005A6A08" w:rsidRDefault="00363C60" w:rsidP="001105E5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74BD" w:rsidRPr="005A6A08">
        <w:rPr>
          <w:rFonts w:ascii="Times New Roman" w:hAnsi="Times New Roman"/>
          <w:b/>
          <w:sz w:val="28"/>
          <w:szCs w:val="28"/>
          <w:lang w:val="kk-KZ"/>
        </w:rPr>
        <w:t>Талдау нәтижелері:</w:t>
      </w:r>
    </w:p>
    <w:p w:rsidR="00C53508" w:rsidRPr="00B65607" w:rsidRDefault="008E7B8D" w:rsidP="00C53508">
      <w:pPr>
        <w:pStyle w:val="Default"/>
        <w:ind w:firstLine="720"/>
        <w:contextualSpacing/>
        <w:jc w:val="both"/>
        <w:rPr>
          <w:i/>
          <w:color w:val="auto"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2022-2023 оқу жылдарынд</w:t>
      </w:r>
      <w:r w:rsidR="001105E5" w:rsidRPr="00363C60">
        <w:rPr>
          <w:sz w:val="28"/>
          <w:szCs w:val="28"/>
          <w:lang w:val="kk-KZ"/>
        </w:rPr>
        <w:t>а</w:t>
      </w:r>
      <w:r w:rsidR="00C53508" w:rsidRPr="00C53508">
        <w:rPr>
          <w:i/>
          <w:sz w:val="27"/>
          <w:szCs w:val="27"/>
          <w:lang w:val="kk-KZ"/>
        </w:rPr>
        <w:t xml:space="preserve"> </w:t>
      </w:r>
      <w:r w:rsidR="00C53508">
        <w:rPr>
          <w:i/>
          <w:sz w:val="27"/>
          <w:szCs w:val="27"/>
          <w:lang w:val="kk-KZ"/>
        </w:rPr>
        <w:t xml:space="preserve"> </w:t>
      </w:r>
      <w:r w:rsidR="00C53508" w:rsidRPr="00B65607">
        <w:rPr>
          <w:i/>
          <w:color w:val="auto"/>
          <w:sz w:val="27"/>
          <w:szCs w:val="27"/>
          <w:lang w:val="kk-KZ"/>
        </w:rPr>
        <w:t>Жалпы білім беретін оқу бағдарламалары, сынып жетекшілерінің жылдық жұмыс жоспарлары, сынып журналдары зерделеніп, талдау жасалды.</w:t>
      </w:r>
    </w:p>
    <w:p w:rsidR="00C53508" w:rsidRPr="00B65607" w:rsidRDefault="00C53508" w:rsidP="00C53508">
      <w:pPr>
        <w:pStyle w:val="Default"/>
        <w:ind w:firstLine="720"/>
        <w:contextualSpacing/>
        <w:jc w:val="both"/>
        <w:rPr>
          <w:i/>
          <w:color w:val="auto"/>
          <w:sz w:val="27"/>
          <w:szCs w:val="27"/>
          <w:lang w:val="kk-KZ"/>
        </w:rPr>
      </w:pPr>
      <w:r w:rsidRPr="00B65607">
        <w:rPr>
          <w:i/>
          <w:color w:val="auto"/>
          <w:sz w:val="27"/>
          <w:szCs w:val="27"/>
          <w:lang w:val="kk-KZ"/>
        </w:rPr>
        <w:t xml:space="preserve">«Жолда жүру ережелері» міндетті курсын іске асыруда </w:t>
      </w:r>
      <w:r>
        <w:rPr>
          <w:i/>
          <w:color w:val="auto"/>
          <w:sz w:val="27"/>
          <w:szCs w:val="27"/>
          <w:lang w:val="kk-KZ"/>
        </w:rPr>
        <w:t xml:space="preserve"> 2022-2023</w:t>
      </w:r>
      <w:r w:rsidRPr="00B65607">
        <w:rPr>
          <w:i/>
          <w:color w:val="auto"/>
          <w:sz w:val="27"/>
          <w:szCs w:val="27"/>
          <w:lang w:val="kk-KZ"/>
        </w:rPr>
        <w:t xml:space="preserve"> оқу жылдары «Жолда жүру ережелері» оқу курсының мазмұнын 1-4 сыныптарда 6 сағаттан, 5-8 сыныптарда 10 саға</w:t>
      </w:r>
      <w:r w:rsidR="0009262E">
        <w:rPr>
          <w:i/>
          <w:color w:val="auto"/>
          <w:sz w:val="27"/>
          <w:szCs w:val="27"/>
          <w:lang w:val="kk-KZ"/>
        </w:rPr>
        <w:t>ттан жүргізіледі. Осы курсты 1-</w:t>
      </w:r>
      <w:r w:rsidR="0009262E">
        <w:rPr>
          <w:i/>
          <w:color w:val="auto"/>
          <w:sz w:val="27"/>
          <w:szCs w:val="27"/>
          <w:lang w:val="en-US"/>
        </w:rPr>
        <w:t>8</w:t>
      </w:r>
      <w:r w:rsidRPr="00B65607">
        <w:rPr>
          <w:i/>
          <w:color w:val="auto"/>
          <w:sz w:val="27"/>
          <w:szCs w:val="27"/>
          <w:lang w:val="kk-KZ"/>
        </w:rPr>
        <w:t xml:space="preserve"> сынып жетекшілері сынып сағаттарында жүзеге асырады.</w:t>
      </w:r>
    </w:p>
    <w:p w:rsidR="00C53508" w:rsidRPr="00B65607" w:rsidRDefault="00C53508" w:rsidP="00C53508">
      <w:pPr>
        <w:pStyle w:val="Default"/>
        <w:ind w:firstLine="720"/>
        <w:contextualSpacing/>
        <w:jc w:val="both"/>
        <w:rPr>
          <w:i/>
          <w:color w:val="auto"/>
          <w:sz w:val="27"/>
          <w:szCs w:val="27"/>
          <w:lang w:val="kk-KZ"/>
        </w:rPr>
      </w:pPr>
      <w:r w:rsidRPr="00B65607">
        <w:rPr>
          <w:i/>
          <w:color w:val="auto"/>
          <w:sz w:val="27"/>
          <w:szCs w:val="27"/>
          <w:lang w:val="kk-KZ"/>
        </w:rPr>
        <w:t>«Жолда жүру ережелері» оқу курсының мазмұны сынып сағаттары есебінен оқытылатыны «Kundelik.kz» электронды журналы арқылы анықталды.</w:t>
      </w:r>
    </w:p>
    <w:p w:rsidR="00095183" w:rsidRDefault="00095183" w:rsidP="0009518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E14790">
        <w:rPr>
          <w:rFonts w:ascii="Times New Roman" w:hAnsi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>2022-2023</w:t>
      </w:r>
      <w:r w:rsidRPr="00E14790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  <w:r w:rsidRPr="00E14790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851"/>
        <w:gridCol w:w="1134"/>
        <w:gridCol w:w="1417"/>
        <w:gridCol w:w="993"/>
        <w:gridCol w:w="992"/>
        <w:gridCol w:w="992"/>
        <w:gridCol w:w="851"/>
        <w:gridCol w:w="992"/>
      </w:tblGrid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Сыны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Қырк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262E"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C966C8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9518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C966C8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095183" w:rsidRPr="00A86A04" w:rsidTr="000B0493">
        <w:trPr>
          <w:trHeight w:val="374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3E69E8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69E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09262E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095183" w:rsidRPr="00A86A04" w:rsidTr="000B0493">
        <w:trPr>
          <w:trHeight w:val="253"/>
        </w:trPr>
        <w:tc>
          <w:tcPr>
            <w:tcW w:w="993" w:type="dxa"/>
            <w:shd w:val="clear" w:color="auto" w:fill="auto"/>
          </w:tcPr>
          <w:p w:rsidR="00095183" w:rsidRPr="00A86A0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A0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righ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1" w:type="dxa"/>
            <w:tcBorders>
              <w:left w:val="outset" w:sz="6" w:space="0" w:color="auto"/>
            </w:tcBorders>
            <w:shd w:val="clear" w:color="auto" w:fill="auto"/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095183" w:rsidRPr="00805824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95183" w:rsidRPr="008E1E1F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E1E1F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E1E1F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851" w:type="dxa"/>
            <w:tcBorders>
              <w:left w:val="outset" w:sz="6" w:space="0" w:color="auto"/>
            </w:tcBorders>
          </w:tcPr>
          <w:p w:rsidR="00095183" w:rsidRPr="008E1E1F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left w:val="outset" w:sz="6" w:space="0" w:color="auto"/>
            </w:tcBorders>
          </w:tcPr>
          <w:p w:rsidR="00095183" w:rsidRPr="008E1E1F" w:rsidRDefault="00095183" w:rsidP="000B0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</w:tbl>
    <w:p w:rsidR="008E7B8D" w:rsidRPr="00654763" w:rsidRDefault="008E7B8D" w:rsidP="00654763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0B5B" w:rsidRPr="00363C60" w:rsidRDefault="00AC0B5B" w:rsidP="00AC0B5B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63C60">
        <w:rPr>
          <w:rFonts w:ascii="Times New Roman" w:hAnsi="Times New Roman"/>
          <w:sz w:val="28"/>
          <w:szCs w:val="28"/>
          <w:lang w:val="kk-KZ"/>
        </w:rPr>
        <w:t>  </w:t>
      </w:r>
      <w:r w:rsidRPr="00363C6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Жолда жүру ережелерінің барлық нұсқаулықтарымен   мектебіміздің   барлық  оқушылары таныстырылды. </w:t>
      </w:r>
      <w:r w:rsidRPr="00363C60">
        <w:rPr>
          <w:rFonts w:ascii="Times New Roman" w:hAnsi="Times New Roman"/>
          <w:color w:val="000000"/>
          <w:sz w:val="28"/>
          <w:szCs w:val="28"/>
          <w:lang w:val="kk-KZ"/>
        </w:rPr>
        <w:t>Өмірде күтпеген оқиғалардан сақтану үшін жол ережелеріне бағыну керек.  «Сақтансаң  сақтармын» дегендей ережелерді тек білу ғана шарт емес, оны бұлжытпай орындаса ғана аман - есен жүруге болатындығы  түсіндіріліп , күнделікті өмірмен байланыстырылды.  Көше тәртібін сақтау- сенің міндетің! Егер жол ережесін бұзсаң, тек өзіңе қауіп төндіріп қоймай, басқа а</w:t>
      </w:r>
      <w:r w:rsidR="008E7B8D">
        <w:rPr>
          <w:rFonts w:ascii="Times New Roman" w:hAnsi="Times New Roman"/>
          <w:color w:val="000000"/>
          <w:sz w:val="28"/>
          <w:szCs w:val="28"/>
          <w:lang w:val="kk-KZ"/>
        </w:rPr>
        <w:t>дамдарға да зияныңды тигізетінд</w:t>
      </w:r>
      <w:r w:rsidRPr="00363C60"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="008E7B8D">
        <w:rPr>
          <w:rFonts w:ascii="Times New Roman" w:hAnsi="Times New Roman"/>
          <w:color w:val="000000"/>
          <w:sz w:val="28"/>
          <w:szCs w:val="28"/>
          <w:lang w:val="kk-KZ"/>
        </w:rPr>
        <w:t>гі</w:t>
      </w:r>
      <w:r w:rsidRPr="00363C60">
        <w:rPr>
          <w:rFonts w:ascii="Times New Roman" w:hAnsi="Times New Roman"/>
          <w:color w:val="000000"/>
          <w:sz w:val="28"/>
          <w:szCs w:val="28"/>
          <w:lang w:val="kk-KZ"/>
        </w:rPr>
        <w:t xml:space="preserve">н  ескерту басты мақсаттың бірі болды. Жыл басында бекітілген жоспар бойынша сабақтар жоспарланған күні </w:t>
      </w:r>
      <w:r w:rsidR="00C53508">
        <w:rPr>
          <w:rFonts w:ascii="Times New Roman" w:hAnsi="Times New Roman"/>
          <w:color w:val="000000"/>
          <w:sz w:val="28"/>
          <w:szCs w:val="28"/>
          <w:lang w:val="kk-KZ"/>
        </w:rPr>
        <w:t xml:space="preserve"> толық </w:t>
      </w:r>
      <w:r w:rsidRPr="00363C60">
        <w:rPr>
          <w:rFonts w:ascii="Times New Roman" w:hAnsi="Times New Roman"/>
          <w:color w:val="000000"/>
          <w:sz w:val="28"/>
          <w:szCs w:val="28"/>
          <w:lang w:val="kk-KZ"/>
        </w:rPr>
        <w:t>өткізілді.</w:t>
      </w:r>
    </w:p>
    <w:p w:rsidR="00C53508" w:rsidRPr="00B65607" w:rsidRDefault="007E74BD" w:rsidP="00C53508">
      <w:pPr>
        <w:pStyle w:val="Default"/>
        <w:ind w:firstLine="720"/>
        <w:contextualSpacing/>
        <w:jc w:val="both"/>
        <w:rPr>
          <w:b/>
          <w:color w:val="auto"/>
          <w:sz w:val="27"/>
          <w:szCs w:val="27"/>
          <w:lang w:val="kk-KZ"/>
        </w:rPr>
      </w:pPr>
      <w:r w:rsidRPr="005A6A08">
        <w:rPr>
          <w:b/>
          <w:sz w:val="28"/>
          <w:szCs w:val="28"/>
          <w:lang w:val="kk-KZ"/>
        </w:rPr>
        <w:t>Қортынды:</w:t>
      </w:r>
      <w:r>
        <w:rPr>
          <w:sz w:val="28"/>
          <w:szCs w:val="28"/>
          <w:lang w:val="kk-KZ"/>
        </w:rPr>
        <w:t xml:space="preserve"> </w:t>
      </w:r>
      <w:r w:rsidR="00C53508" w:rsidRPr="00B65607">
        <w:rPr>
          <w:color w:val="auto"/>
          <w:sz w:val="27"/>
          <w:szCs w:val="27"/>
          <w:lang w:val="kk-KZ"/>
        </w:rPr>
        <w:t>Қазақстан Республикасы Білім және ғылым министрінің 2018 жылғы 31 қазандағы №604 бұйрығымен бекітілген «Бастауыш білім берудің мемлекеттік жалпыға міндетті стандарты» (2 қосымшасы) 2-тарауының 25 тармағы, «Негізгі орта білім берудің мемлекеттік жалпыға міндетті стандарты» (3 қосымшасы) 2 тарауының 35 тармағына сәйкес келеді.</w:t>
      </w:r>
    </w:p>
    <w:p w:rsidR="00C53508" w:rsidRPr="00B65607" w:rsidRDefault="00C53508" w:rsidP="00C53508">
      <w:pPr>
        <w:pStyle w:val="Default"/>
        <w:ind w:firstLine="720"/>
        <w:contextualSpacing/>
        <w:jc w:val="both"/>
        <w:rPr>
          <w:i/>
          <w:color w:val="auto"/>
          <w:sz w:val="27"/>
          <w:szCs w:val="27"/>
          <w:lang w:val="kk-KZ"/>
        </w:rPr>
      </w:pPr>
    </w:p>
    <w:p w:rsidR="001105E5" w:rsidRPr="00363C60" w:rsidRDefault="001105E5" w:rsidP="001105E5">
      <w:pPr>
        <w:rPr>
          <w:rFonts w:ascii="Times New Roman" w:hAnsi="Times New Roman"/>
          <w:sz w:val="28"/>
          <w:szCs w:val="28"/>
          <w:lang w:val="kk-KZ"/>
        </w:rPr>
      </w:pPr>
    </w:p>
    <w:p w:rsidR="00471632" w:rsidRPr="00AC0B5B" w:rsidRDefault="00471632" w:rsidP="001105E5">
      <w:pPr>
        <w:tabs>
          <w:tab w:val="left" w:pos="945"/>
        </w:tabs>
        <w:rPr>
          <w:lang w:val="kk-KZ"/>
        </w:rPr>
      </w:pPr>
    </w:p>
    <w:sectPr w:rsidR="00471632" w:rsidRPr="00AC0B5B" w:rsidSect="0047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05E5"/>
    <w:rsid w:val="0009262E"/>
    <w:rsid w:val="00095183"/>
    <w:rsid w:val="000C084E"/>
    <w:rsid w:val="001105E5"/>
    <w:rsid w:val="001A20B9"/>
    <w:rsid w:val="001A4451"/>
    <w:rsid w:val="0020478D"/>
    <w:rsid w:val="00282357"/>
    <w:rsid w:val="00296979"/>
    <w:rsid w:val="002D04C8"/>
    <w:rsid w:val="002D5C0B"/>
    <w:rsid w:val="002E32AA"/>
    <w:rsid w:val="003147B5"/>
    <w:rsid w:val="00333A4D"/>
    <w:rsid w:val="003351FC"/>
    <w:rsid w:val="00345C6F"/>
    <w:rsid w:val="00363C60"/>
    <w:rsid w:val="00371FB6"/>
    <w:rsid w:val="003937D3"/>
    <w:rsid w:val="003E69E8"/>
    <w:rsid w:val="004033FB"/>
    <w:rsid w:val="00471632"/>
    <w:rsid w:val="00483098"/>
    <w:rsid w:val="00520538"/>
    <w:rsid w:val="00544DAA"/>
    <w:rsid w:val="005A6A08"/>
    <w:rsid w:val="005D75C2"/>
    <w:rsid w:val="006340CC"/>
    <w:rsid w:val="00654763"/>
    <w:rsid w:val="0068062E"/>
    <w:rsid w:val="00700308"/>
    <w:rsid w:val="007545F1"/>
    <w:rsid w:val="007660A6"/>
    <w:rsid w:val="007E74BD"/>
    <w:rsid w:val="007F09DC"/>
    <w:rsid w:val="008035F3"/>
    <w:rsid w:val="00805824"/>
    <w:rsid w:val="00856746"/>
    <w:rsid w:val="00877109"/>
    <w:rsid w:val="00886DAB"/>
    <w:rsid w:val="008E1E1F"/>
    <w:rsid w:val="008E7B8D"/>
    <w:rsid w:val="0091628D"/>
    <w:rsid w:val="00916E20"/>
    <w:rsid w:val="009220E7"/>
    <w:rsid w:val="00947D85"/>
    <w:rsid w:val="00986DF0"/>
    <w:rsid w:val="009A165D"/>
    <w:rsid w:val="00A04618"/>
    <w:rsid w:val="00A23419"/>
    <w:rsid w:val="00A3750B"/>
    <w:rsid w:val="00A47B27"/>
    <w:rsid w:val="00A6098C"/>
    <w:rsid w:val="00A86A04"/>
    <w:rsid w:val="00AC0B5B"/>
    <w:rsid w:val="00B3222F"/>
    <w:rsid w:val="00BD260B"/>
    <w:rsid w:val="00BF28E9"/>
    <w:rsid w:val="00C40AA9"/>
    <w:rsid w:val="00C53508"/>
    <w:rsid w:val="00C54803"/>
    <w:rsid w:val="00C966C8"/>
    <w:rsid w:val="00CC2E25"/>
    <w:rsid w:val="00CD6AF8"/>
    <w:rsid w:val="00CF77FD"/>
    <w:rsid w:val="00D018F1"/>
    <w:rsid w:val="00DA7D80"/>
    <w:rsid w:val="00DC0A5C"/>
    <w:rsid w:val="00DC7B4D"/>
    <w:rsid w:val="00DF10CC"/>
    <w:rsid w:val="00E410D1"/>
    <w:rsid w:val="00E47A0D"/>
    <w:rsid w:val="00E546E1"/>
    <w:rsid w:val="00E72E59"/>
    <w:rsid w:val="00EF0B45"/>
    <w:rsid w:val="00F16680"/>
    <w:rsid w:val="00F639FB"/>
    <w:rsid w:val="00F72A3D"/>
    <w:rsid w:val="00F92146"/>
    <w:rsid w:val="00F968BC"/>
    <w:rsid w:val="00FA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05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link w:val="a3"/>
    <w:rsid w:val="001105E5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53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E19A-0992-4B9A-BB8C-0236AAD8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ы</cp:lastModifiedBy>
  <cp:revision>36</cp:revision>
  <dcterms:created xsi:type="dcterms:W3CDTF">2022-06-27T07:07:00Z</dcterms:created>
  <dcterms:modified xsi:type="dcterms:W3CDTF">2023-06-27T16:59:00Z</dcterms:modified>
</cp:coreProperties>
</file>